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247D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89136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9F4DC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11.100</w:t>
            </w:r>
            <w:r>
              <w:rPr>
                <w:rFonts w:ascii="黑体" w:hAnsi="黑体" w:eastAsia="黑体"/>
                <w:sz w:val="21"/>
                <w:szCs w:val="21"/>
              </w:rPr>
              <w:fldChar w:fldCharType="end"/>
            </w:r>
            <w:bookmarkEnd w:id="0"/>
          </w:p>
        </w:tc>
      </w:tr>
      <w:tr w14:paraId="4CC9D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6849E4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3762C3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C08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0B3F9C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D0D779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50</w:t>
            </w:r>
            <w:r>
              <w:fldChar w:fldCharType="end"/>
            </w:r>
            <w:bookmarkEnd w:id="3"/>
          </w:p>
        </w:tc>
      </w:tr>
    </w:tbl>
    <w:p w14:paraId="3A9457D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重庆市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7AF3E44">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50/T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2024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3202EF5">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71EDD6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EF0A82B">
      <w:pPr>
        <w:pStyle w:val="50"/>
        <w:framePr w:w="9639" w:h="6976" w:hRule="exact" w:hSpace="0" w:vSpace="0" w:wrap="around" w:hAnchor="page" w:y="6408"/>
        <w:jc w:val="center"/>
        <w:rPr>
          <w:rFonts w:ascii="黑体" w:hAnsi="黑体" w:eastAsia="黑体"/>
          <w:b w:val="0"/>
          <w:bCs w:val="0"/>
          <w:w w:val="100"/>
        </w:rPr>
      </w:pPr>
    </w:p>
    <w:p w14:paraId="1F6950A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人间传染的</w:t>
      </w:r>
      <w:r>
        <w:rPr>
          <w:rFonts w:hint="eastAsia"/>
          <w:lang w:eastAsia="zh-CN"/>
        </w:rPr>
        <w:t>高致病性</w:t>
      </w:r>
      <w:r>
        <w:t>病原微生物</w:t>
      </w:r>
    </w:p>
    <w:p w14:paraId="1BE8CF97">
      <w:pPr>
        <w:pStyle w:val="197"/>
        <w:framePr w:h="6974" w:hRule="exact" w:wrap="around" w:x="1419" w:anchorLock="1"/>
      </w:pPr>
      <w:bookmarkStart w:id="46" w:name="_GoBack"/>
      <w:bookmarkEnd w:id="46"/>
      <w:r>
        <w:t>菌（毒）种或样本运输技术规范</w:t>
      </w:r>
      <w:r>
        <w:fldChar w:fldCharType="end"/>
      </w:r>
      <w:bookmarkEnd w:id="9"/>
    </w:p>
    <w:p w14:paraId="39DE7CFC">
      <w:pPr>
        <w:framePr w:w="9639" w:h="6974" w:hRule="exact" w:wrap="around" w:vAnchor="page" w:hAnchor="page" w:x="1419" w:y="6408" w:anchorLock="1"/>
        <w:ind w:left="-1418"/>
      </w:pPr>
    </w:p>
    <w:p w14:paraId="2AB57D30">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the transport of </w:t>
      </w:r>
      <w:r>
        <w:rPr>
          <w:rFonts w:hint="eastAsia" w:ascii="黑体" w:hAnsi="黑体" w:eastAsia="黑体"/>
          <w:szCs w:val="28"/>
          <w:lang w:val="en-US" w:eastAsia="zh-CN"/>
        </w:rPr>
        <w:t xml:space="preserve">highly </w:t>
      </w:r>
      <w:r>
        <w:rPr>
          <w:rFonts w:ascii="黑体" w:hAnsi="黑体" w:eastAsia="黑体"/>
          <w:szCs w:val="28"/>
        </w:rPr>
        <w:t>pathogenic microorganisms (viruses) or samples transmitted between humans   </w:t>
      </w:r>
      <w:r>
        <w:rPr>
          <w:rFonts w:ascii="黑体" w:hAnsi="黑体" w:eastAsia="黑体"/>
          <w:szCs w:val="28"/>
        </w:rPr>
        <w:fldChar w:fldCharType="end"/>
      </w:r>
      <w:bookmarkEnd w:id="10"/>
    </w:p>
    <w:p w14:paraId="3F82834C">
      <w:pPr>
        <w:framePr w:w="9639" w:h="6974" w:hRule="exact" w:wrap="around" w:vAnchor="page" w:hAnchor="page" w:x="1419" w:y="6408" w:anchorLock="1"/>
        <w:spacing w:line="760" w:lineRule="exact"/>
        <w:ind w:left="-1418"/>
      </w:pPr>
    </w:p>
    <w:p w14:paraId="3F0DB943">
      <w:pPr>
        <w:pStyle w:val="125"/>
        <w:framePr w:w="9639" w:h="6974" w:hRule="exact" w:wrap="around" w:vAnchor="page" w:hAnchor="page" w:x="1419" w:y="6408" w:anchorLock="1"/>
        <w:textAlignment w:val="bottom"/>
        <w:rPr>
          <w:rFonts w:eastAsia="黑体"/>
          <w:szCs w:val="28"/>
        </w:rPr>
      </w:pPr>
    </w:p>
    <w:p w14:paraId="60A738C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84B7BF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0240820</w:t>
      </w:r>
      <w:r>
        <w:rPr>
          <w:rFonts w:hint="eastAsia"/>
          <w:sz w:val="21"/>
          <w:szCs w:val="28"/>
        </w:rPr>
        <w:t>）</w:t>
      </w:r>
      <w:r>
        <w:rPr>
          <w:sz w:val="21"/>
          <w:szCs w:val="28"/>
        </w:rPr>
        <w:fldChar w:fldCharType="end"/>
      </w:r>
      <w:bookmarkEnd w:id="12"/>
    </w:p>
    <w:p w14:paraId="220B9B4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94A97B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08</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324561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CB3675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重庆市</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588AB5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589BCF0">
      <w:pPr>
        <w:pStyle w:val="89"/>
        <w:spacing w:before="900" w:after="468"/>
      </w:pPr>
      <w:bookmarkStart w:id="21" w:name="BookMark2"/>
      <w:r>
        <w:rPr>
          <w:spacing w:val="320"/>
        </w:rPr>
        <w:t>前</w:t>
      </w:r>
      <w:r>
        <w:t>言</w:t>
      </w:r>
    </w:p>
    <w:p w14:paraId="309DA64B">
      <w:pPr>
        <w:pStyle w:val="56"/>
        <w:ind w:firstLine="420"/>
      </w:pPr>
      <w:r>
        <w:rPr>
          <w:rFonts w:hint="eastAsia"/>
        </w:rPr>
        <w:t>本文件按照GB/T 1.1—2020《标准化工作导则  第1部分：标准化文件的结构和起草规则》的规定起草。</w:t>
      </w:r>
    </w:p>
    <w:p w14:paraId="514B5126">
      <w:pPr>
        <w:pStyle w:val="56"/>
        <w:ind w:firstLine="420"/>
      </w:pPr>
      <w:r>
        <w:rPr>
          <w:rFonts w:hint="eastAsia"/>
        </w:rPr>
        <w:t>本文件由重庆市人口和计划生育科学技术研究院提出。</w:t>
      </w:r>
    </w:p>
    <w:p w14:paraId="044EADE3">
      <w:pPr>
        <w:pStyle w:val="56"/>
        <w:ind w:firstLine="420"/>
      </w:pPr>
      <w:r>
        <w:rPr>
          <w:rFonts w:hint="eastAsia"/>
        </w:rPr>
        <w:t>本文件由重庆市卫生健康委组织实施。</w:t>
      </w:r>
    </w:p>
    <w:p w14:paraId="1AD8129D">
      <w:pPr>
        <w:pStyle w:val="56"/>
        <w:ind w:firstLine="420"/>
      </w:pPr>
      <w:r>
        <w:rPr>
          <w:rFonts w:hint="eastAsia"/>
        </w:rPr>
        <w:t>本文件由重庆市市场监督管理局归口。</w:t>
      </w:r>
    </w:p>
    <w:p w14:paraId="4BD2C679">
      <w:pPr>
        <w:pStyle w:val="13"/>
        <w:kinsoku w:val="0"/>
        <w:overflowPunct w:val="0"/>
        <w:spacing w:before="7" w:line="240" w:lineRule="exact"/>
        <w:ind w:firstLine="420" w:firstLineChars="200"/>
      </w:pPr>
      <w:r>
        <w:rPr>
          <w:rFonts w:hint="eastAsia"/>
        </w:rPr>
        <w:t>本文件起草单位：重庆市人口和计划生育科学技术研究院、重庆市疾病预防控制中心、重庆市人民医院。</w:t>
      </w:r>
    </w:p>
    <w:p w14:paraId="4AB0977B">
      <w:pPr>
        <w:pStyle w:val="56"/>
        <w:ind w:firstLine="420"/>
      </w:pPr>
      <w:r>
        <w:rPr>
          <w:rFonts w:hint="eastAsia"/>
        </w:rPr>
        <w:t>本文件主要起草人：朱一剑、胡黎黎、廖春艳、向尧、廖爱玲、孙丹、李征、凌华、周全华、徐兰兰</w:t>
      </w:r>
    </w:p>
    <w:p w14:paraId="77823925">
      <w:pPr>
        <w:pStyle w:val="56"/>
        <w:ind w:firstLine="420"/>
      </w:pPr>
    </w:p>
    <w:p w14:paraId="5A4528F7">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45D863AB">
      <w:pPr>
        <w:spacing w:line="20" w:lineRule="exact"/>
        <w:jc w:val="center"/>
        <w:rPr>
          <w:rFonts w:ascii="黑体" w:hAnsi="黑体" w:eastAsia="黑体"/>
          <w:sz w:val="32"/>
          <w:szCs w:val="32"/>
        </w:rPr>
      </w:pPr>
      <w:bookmarkStart w:id="22" w:name="BookMark4"/>
    </w:p>
    <w:p w14:paraId="5A3261D0">
      <w:pPr>
        <w:spacing w:line="20" w:lineRule="exact"/>
        <w:jc w:val="center"/>
        <w:rPr>
          <w:rFonts w:ascii="黑体" w:hAnsi="黑体" w:eastAsia="黑体"/>
          <w:sz w:val="32"/>
          <w:szCs w:val="32"/>
        </w:rPr>
      </w:pPr>
    </w:p>
    <w:sdt>
      <w:sdtPr>
        <w:tag w:val="NEW_STAND_NAME"/>
        <w:id w:val="595910757"/>
        <w:lock w:val="sdtLocked"/>
        <w:placeholder>
          <w:docPart w:val="840EB2AB1C864B449FC91DC9BDA22342"/>
        </w:placeholder>
      </w:sdtPr>
      <w:sdtContent>
        <w:p w14:paraId="6CE80EF4">
          <w:pPr>
            <w:pStyle w:val="177"/>
            <w:bidi w:val="0"/>
            <w:spacing w:before="313" w:beforeLines="100" w:after="687" w:afterLines="220"/>
          </w:pPr>
          <w:bookmarkStart w:id="23" w:name="NEW_STAND_NAME"/>
          <w:r>
            <w:rPr>
              <w:rFonts w:hint="eastAsia"/>
              <w:lang w:eastAsia="zh-CN"/>
            </w:rPr>
            <w:t>人间传染的高致病性病原微生物菌（毒）种或样本运输技术规范</w:t>
          </w:r>
        </w:p>
      </w:sdtContent>
    </w:sdt>
    <w:bookmarkEnd w:id="23"/>
    <w:p w14:paraId="56743393">
      <w:pPr>
        <w:pStyle w:val="104"/>
        <w:spacing w:before="312" w:after="312"/>
      </w:pPr>
      <w:bookmarkStart w:id="24" w:name="_Toc17233325"/>
      <w:bookmarkStart w:id="25" w:name="_Toc24884218"/>
      <w:bookmarkStart w:id="26" w:name="_Toc26986771"/>
      <w:bookmarkStart w:id="27" w:name="_Toc17233333"/>
      <w:bookmarkStart w:id="28" w:name="_Toc26718930"/>
      <w:bookmarkStart w:id="29" w:name="_Toc97191423"/>
      <w:bookmarkStart w:id="30" w:name="_Toc24884211"/>
      <w:bookmarkStart w:id="31" w:name="_Toc26986530"/>
      <w:bookmarkStart w:id="32" w:name="_Toc26648465"/>
      <w:r>
        <w:rPr>
          <w:rFonts w:hint="eastAsia"/>
        </w:rPr>
        <w:t>范围</w:t>
      </w:r>
      <w:bookmarkEnd w:id="24"/>
      <w:bookmarkEnd w:id="25"/>
      <w:bookmarkEnd w:id="26"/>
      <w:bookmarkEnd w:id="27"/>
      <w:bookmarkEnd w:id="28"/>
      <w:bookmarkEnd w:id="29"/>
      <w:bookmarkEnd w:id="30"/>
      <w:bookmarkEnd w:id="31"/>
      <w:bookmarkEnd w:id="32"/>
    </w:p>
    <w:p w14:paraId="31D2D50A">
      <w:pPr>
        <w:pStyle w:val="56"/>
        <w:ind w:firstLine="420"/>
      </w:pPr>
      <w:bookmarkStart w:id="33" w:name="_Toc24884219"/>
      <w:bookmarkStart w:id="34" w:name="_Toc24884212"/>
      <w:bookmarkStart w:id="35" w:name="_Toc17233334"/>
      <w:bookmarkStart w:id="36" w:name="_Toc26648466"/>
      <w:bookmarkStart w:id="37" w:name="_Toc17233326"/>
      <w:r>
        <w:rPr>
          <w:rFonts w:hint="eastAsia"/>
        </w:rPr>
        <w:t>本文件规定了人间传染的高致病性病原微生物菌（毒）种或样本运输的基本操作要求。</w:t>
      </w:r>
    </w:p>
    <w:p w14:paraId="7A226247">
      <w:pPr>
        <w:pStyle w:val="56"/>
        <w:ind w:firstLine="420"/>
      </w:pPr>
      <w:r>
        <w:rPr>
          <w:rFonts w:hint="eastAsia"/>
        </w:rPr>
        <w:t>本文件适用于重庆市辖区内人间传染的高致病性病原微生物菌（毒）种或样本的运输工作。</w:t>
      </w:r>
    </w:p>
    <w:p w14:paraId="293179E2">
      <w:pPr>
        <w:pStyle w:val="104"/>
        <w:spacing w:before="312" w:after="312"/>
      </w:pPr>
      <w:bookmarkStart w:id="38" w:name="_Toc26986772"/>
      <w:bookmarkStart w:id="39" w:name="_Toc26718931"/>
      <w:bookmarkStart w:id="40" w:name="_Toc97191424"/>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BA7F087C05540999AAE1A71DF0DE6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B88F05">
          <w:pPr>
            <w:pStyle w:val="56"/>
            <w:ind w:firstLine="420"/>
          </w:pPr>
          <w:r>
            <w:rPr>
              <w:rFonts w:hint="eastAsia"/>
            </w:rPr>
            <w:t>本文件没有规范性引用文件。</w:t>
          </w:r>
        </w:p>
      </w:sdtContent>
    </w:sdt>
    <w:p w14:paraId="25C24726">
      <w:pPr>
        <w:pStyle w:val="104"/>
        <w:spacing w:before="312" w:after="312"/>
      </w:pPr>
      <w:bookmarkStart w:id="42" w:name="_Toc97191425"/>
      <w:r>
        <w:rPr>
          <w:rFonts w:hint="eastAsia"/>
          <w:szCs w:val="21"/>
        </w:rPr>
        <w:t>术语和定义</w:t>
      </w:r>
      <w:bookmarkEnd w:id="42"/>
    </w:p>
    <w:sdt>
      <w:sdtPr>
        <w:id w:val="-1909835108"/>
        <w:placeholder>
          <w:docPart w:val="32FBB0690A554531A1D9AFA73FD090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19AE58">
          <w:pPr>
            <w:pStyle w:val="56"/>
            <w:ind w:firstLine="420"/>
          </w:pPr>
          <w:bookmarkStart w:id="43" w:name="_Toc26986532"/>
          <w:bookmarkEnd w:id="43"/>
          <w:r>
            <w:t>下列术语和定义适用于本文件。</w:t>
          </w:r>
        </w:p>
      </w:sdtContent>
    </w:sdt>
    <w:p w14:paraId="340F265D">
      <w:pPr>
        <w:pStyle w:val="56"/>
        <w:ind w:firstLine="420"/>
      </w:pPr>
    </w:p>
    <w:p w14:paraId="5A93CB82">
      <w:pPr>
        <w:pStyle w:val="105"/>
        <w:spacing w:before="156" w:after="156"/>
      </w:pPr>
      <w:r>
        <w:rPr>
          <w:rFonts w:hint="eastAsia" w:hAnsi="黑体"/>
          <w:szCs w:val="21"/>
        </w:rPr>
        <w:t>人间传染的高致病性病原微生物菌（毒）种或样本</w:t>
      </w:r>
      <w:r>
        <w:rPr>
          <w:rFonts w:hAnsi="黑体"/>
          <w:szCs w:val="21"/>
        </w:rPr>
        <w:t xml:space="preserve">  highly pathogenic microorganism</w:t>
      </w:r>
    </w:p>
    <w:p w14:paraId="1AFE90DF">
      <w:pPr>
        <w:pStyle w:val="56"/>
        <w:ind w:firstLine="420"/>
      </w:pPr>
      <w:r>
        <w:rPr>
          <w:rFonts w:hint="eastAsia"/>
        </w:rPr>
        <w:t>在《人间传染的病原微生物目录》中规定的第一类、第二类病原微生物菌（毒）种或样本，第三类病原微生物运输包装分类为A类的病原微生物菌（毒）种或样本，以及疑似高致病性病原微生物菌（毒）种或样本，以下简称“菌（毒）种或样本”。</w:t>
      </w:r>
    </w:p>
    <w:p w14:paraId="17A1E1A2">
      <w:pPr>
        <w:pStyle w:val="105"/>
        <w:spacing w:before="156" w:after="156"/>
      </w:pPr>
      <w:r>
        <w:rPr>
          <w:rFonts w:hint="eastAsia" w:hAnsi="黑体"/>
        </w:rPr>
        <w:t xml:space="preserve">内部运输 </w:t>
      </w:r>
      <w:r>
        <w:rPr>
          <w:rFonts w:hAnsi="黑体"/>
        </w:rPr>
        <w:t>Internal transportation</w:t>
      </w:r>
    </w:p>
    <w:p w14:paraId="35351E82">
      <w:pPr>
        <w:pStyle w:val="56"/>
        <w:ind w:firstLine="420"/>
      </w:pPr>
      <w:r>
        <w:rPr>
          <w:rFonts w:hint="eastAsia"/>
        </w:rPr>
        <w:t>同一单位同一场所内的菌（毒）种或样本运输。</w:t>
      </w:r>
    </w:p>
    <w:p w14:paraId="7B277450">
      <w:pPr>
        <w:pStyle w:val="56"/>
        <w:ind w:firstLine="420"/>
      </w:pPr>
      <w:r>
        <w:rPr>
          <w:rFonts w:hint="eastAsia"/>
        </w:rPr>
        <w:t>[来源：人间传染的高致病性病原微生物菌（毒）种或样本包装技术规范]</w:t>
      </w:r>
    </w:p>
    <w:p w14:paraId="0A3604C0">
      <w:pPr>
        <w:pStyle w:val="104"/>
        <w:spacing w:before="312" w:after="312"/>
      </w:pPr>
      <w:r>
        <w:rPr>
          <w:rFonts w:hint="eastAsia"/>
        </w:rPr>
        <w:t>管理要求</w:t>
      </w:r>
    </w:p>
    <w:p w14:paraId="2E0C0D7D">
      <w:pPr>
        <w:pStyle w:val="162"/>
      </w:pPr>
      <w:r>
        <w:rPr>
          <w:rFonts w:hint="eastAsia"/>
        </w:rPr>
        <w:t>菌（毒）或样本运输目的、用途和接收单位符合国务院卫生健康主管部门的规定。</w:t>
      </w:r>
    </w:p>
    <w:p w14:paraId="7AAAEC25">
      <w:pPr>
        <w:pStyle w:val="162"/>
      </w:pPr>
      <w:r>
        <w:rPr>
          <w:rFonts w:hint="eastAsia"/>
        </w:rPr>
        <w:t>运输菌（毒）种或样本的容器或包装材料应符合《人间传染的高致病性病原微生物菌（毒）种或样本包装技术规范》。</w:t>
      </w:r>
    </w:p>
    <w:p w14:paraId="523CCF5B">
      <w:pPr>
        <w:pStyle w:val="162"/>
        <w:rPr>
          <w:szCs w:val="21"/>
        </w:rPr>
      </w:pPr>
      <w:r>
        <w:rPr>
          <w:rFonts w:hint="eastAsia"/>
          <w:szCs w:val="21"/>
        </w:rPr>
        <w:t>菌（毒）种或样本运输前应制定风险评估报告和应急预案。</w:t>
      </w:r>
    </w:p>
    <w:p w14:paraId="41B37325">
      <w:pPr>
        <w:pStyle w:val="162"/>
      </w:pPr>
      <w:r>
        <w:rPr>
          <w:rFonts w:hint="eastAsia"/>
        </w:rPr>
        <w:t>菌（毒）种或样本运输应经生物安全培训合格的专人护送，护送人员不少于2人，运输前综合考虑运输距离的长短、低温冷冻剂的维持时间等因素，并在护送过程中采取相应的防护措施，保证运输安全和样本质量。</w:t>
      </w:r>
    </w:p>
    <w:p w14:paraId="7A39BCD6">
      <w:pPr>
        <w:pStyle w:val="162"/>
      </w:pPr>
      <w:r>
        <w:rPr>
          <w:rFonts w:hint="eastAsia"/>
        </w:rPr>
        <w:t>在运输结束后，申请单位应当将运输情况向原批准部门书面报告，参考附录A。</w:t>
      </w:r>
    </w:p>
    <w:p w14:paraId="2388ADB1">
      <w:pPr>
        <w:pStyle w:val="104"/>
        <w:spacing w:before="312" w:after="312"/>
      </w:pPr>
      <w:r>
        <w:rPr>
          <w:rFonts w:hint="eastAsia"/>
        </w:rPr>
        <w:t>运输实施</w:t>
      </w:r>
    </w:p>
    <w:p w14:paraId="192EFB0F">
      <w:pPr>
        <w:pStyle w:val="105"/>
        <w:spacing w:before="156" w:after="156"/>
      </w:pPr>
      <w:r>
        <w:rPr>
          <w:rFonts w:hint="eastAsia"/>
        </w:rPr>
        <w:t>申请运输</w:t>
      </w:r>
    </w:p>
    <w:p w14:paraId="03A7C7E1">
      <w:pPr>
        <w:pStyle w:val="165"/>
      </w:pPr>
      <w:r>
        <w:rPr>
          <w:rFonts w:hint="eastAsia"/>
        </w:rPr>
        <w:t>申请单位应在运输菌（毒）种或样本前，向重庆市卫生健康主管部门提出申请。</w:t>
      </w:r>
    </w:p>
    <w:p w14:paraId="38A27FAE">
      <w:pPr>
        <w:pStyle w:val="165"/>
      </w:pPr>
      <w:r>
        <w:rPr>
          <w:rFonts w:hint="eastAsia"/>
        </w:rPr>
        <w:t>菌（毒）或样本的运输准运证分单次和多次，单次运输准运证须在每次运输前办理，多次运输准运证有效期为6个月。</w:t>
      </w:r>
    </w:p>
    <w:p w14:paraId="0D8DC76C">
      <w:pPr>
        <w:pStyle w:val="105"/>
        <w:spacing w:before="156" w:after="156"/>
      </w:pPr>
      <w:r>
        <w:rPr>
          <w:rFonts w:hint="eastAsia"/>
        </w:rPr>
        <w:t>内部运输</w:t>
      </w:r>
    </w:p>
    <w:p w14:paraId="48736B5D">
      <w:pPr>
        <w:pStyle w:val="165"/>
      </w:pPr>
      <w:r>
        <w:rPr>
          <w:rFonts w:hint="eastAsia" w:ascii="黑体" w:eastAsia="黑体"/>
        </w:rPr>
        <w:t>实验室内的运输</w:t>
      </w:r>
      <w:r>
        <w:rPr>
          <w:rFonts w:hint="eastAsia"/>
        </w:rPr>
        <w:t xml:space="preserve">   宜使用手推车进行更稳定的运输支架、小瓶或试管。</w:t>
      </w:r>
    </w:p>
    <w:p w14:paraId="4A2349B4">
      <w:pPr>
        <w:pStyle w:val="65"/>
        <w:spacing w:before="156" w:after="156"/>
      </w:pPr>
      <w:r>
        <w:rPr>
          <w:rFonts w:hint="eastAsia"/>
        </w:rPr>
        <w:t>建筑物内的运输</w:t>
      </w:r>
    </w:p>
    <w:p w14:paraId="4516EDCF">
      <w:pPr>
        <w:pStyle w:val="164"/>
      </w:pPr>
      <w:r>
        <w:rPr>
          <w:rFonts w:hint="eastAsia"/>
        </w:rPr>
        <w:t>除考虑实验室内转运的因素外，实验室之间转运时应尽量避免公共区域和公共通道。</w:t>
      </w:r>
    </w:p>
    <w:p w14:paraId="35DE9E96">
      <w:pPr>
        <w:pStyle w:val="164"/>
      </w:pPr>
      <w:r>
        <w:rPr>
          <w:rFonts w:hint="eastAsia"/>
          <w:color w:val="000000"/>
        </w:rPr>
        <w:t>转运容器应贴上标签以识别内容物，并在离开实验室之前清除容器表面污染。</w:t>
      </w:r>
    </w:p>
    <w:p w14:paraId="06A157B5">
      <w:pPr>
        <w:pStyle w:val="65"/>
        <w:spacing w:before="156" w:after="156"/>
      </w:pPr>
      <w:r>
        <w:rPr>
          <w:rFonts w:hint="eastAsia"/>
        </w:rPr>
        <w:t>建筑物之间的运输</w:t>
      </w:r>
    </w:p>
    <w:p w14:paraId="24766D05">
      <w:pPr>
        <w:pStyle w:val="164"/>
      </w:pPr>
      <w:r>
        <w:rPr>
          <w:rFonts w:hint="eastAsia"/>
          <w:color w:val="000000"/>
        </w:rPr>
        <w:t>应尽量避免公共区域和公共通道。</w:t>
      </w:r>
    </w:p>
    <w:p w14:paraId="46AC0004">
      <w:pPr>
        <w:pStyle w:val="164"/>
      </w:pPr>
      <w:r>
        <w:rPr>
          <w:rFonts w:hint="eastAsia"/>
          <w:color w:val="000000"/>
        </w:rPr>
        <w:t>外包装上的标签应能清楚识别送样人、收样人和包装内的物品。</w:t>
      </w:r>
    </w:p>
    <w:p w14:paraId="48F79555">
      <w:pPr>
        <w:pStyle w:val="105"/>
        <w:spacing w:before="156" w:after="156"/>
      </w:pPr>
      <w:r>
        <w:rPr>
          <w:rFonts w:hint="eastAsia"/>
        </w:rPr>
        <w:t>市内运输</w:t>
      </w:r>
    </w:p>
    <w:p w14:paraId="503B7314">
      <w:pPr>
        <w:pStyle w:val="65"/>
        <w:spacing w:before="156" w:after="156"/>
        <w:rPr>
          <w:rFonts w:ascii="宋体" w:eastAsia="宋体"/>
        </w:rPr>
      </w:pPr>
      <w:r>
        <w:rPr>
          <w:rFonts w:hint="eastAsia" w:ascii="宋体" w:eastAsia="宋体"/>
        </w:rPr>
        <w:t>菌（毒）种或样本在全市范围的运输由市卫生健康主管部门批准后实施。</w:t>
      </w:r>
    </w:p>
    <w:p w14:paraId="40270765">
      <w:pPr>
        <w:pStyle w:val="65"/>
        <w:spacing w:before="156" w:after="156"/>
        <w:rPr>
          <w:rFonts w:ascii="宋体" w:eastAsia="宋体"/>
        </w:rPr>
      </w:pPr>
      <w:r>
        <w:rPr>
          <w:rFonts w:hint="eastAsia" w:ascii="宋体" w:eastAsia="宋体"/>
        </w:rPr>
        <w:t>菌（毒）种或样本在同一单位不同场所之间运输由市卫生健康主管部门批准后实施。</w:t>
      </w:r>
    </w:p>
    <w:p w14:paraId="6EB929C1">
      <w:pPr>
        <w:pStyle w:val="105"/>
        <w:spacing w:before="156" w:after="156"/>
      </w:pPr>
      <w:r>
        <w:rPr>
          <w:rFonts w:hint="eastAsia"/>
        </w:rPr>
        <w:t>跨省运输</w:t>
      </w:r>
    </w:p>
    <w:p w14:paraId="58E75E49">
      <w:pPr>
        <w:pStyle w:val="165"/>
      </w:pPr>
      <w:r>
        <w:rPr>
          <w:rFonts w:hint="eastAsia"/>
          <w:color w:val="000000"/>
        </w:rPr>
        <w:t>申请单位运输菌（毒）种或样本前应向符合法定条件的接收机构提出申请，经国务院卫生健康主管部门批准后实施。</w:t>
      </w:r>
    </w:p>
    <w:p w14:paraId="1F76AA98">
      <w:pPr>
        <w:pStyle w:val="165"/>
      </w:pPr>
      <w:r>
        <w:rPr>
          <w:rFonts w:hint="eastAsia"/>
          <w:color w:val="000000"/>
        </w:rPr>
        <w:t>对于为控制传染病暴发、流行或者突发公共卫生事件应急处理等特殊情况的运输参照《病原微生物实验室生物安全管理条例》。</w:t>
      </w:r>
    </w:p>
    <w:p w14:paraId="47F905DA">
      <w:pPr>
        <w:pStyle w:val="104"/>
        <w:spacing w:before="312" w:after="312"/>
      </w:pPr>
      <w:r>
        <w:rPr>
          <w:rFonts w:hint="eastAsia"/>
        </w:rPr>
        <w:t>主要运输方式</w:t>
      </w:r>
    </w:p>
    <w:p w14:paraId="0F0123AF">
      <w:pPr>
        <w:pStyle w:val="105"/>
        <w:spacing w:before="156" w:after="156"/>
      </w:pPr>
      <w:r>
        <w:rPr>
          <w:rFonts w:hint="eastAsia"/>
        </w:rPr>
        <w:t>航空运输</w:t>
      </w:r>
    </w:p>
    <w:p w14:paraId="2128AEC1">
      <w:pPr>
        <w:pStyle w:val="165"/>
      </w:pPr>
      <w:r>
        <w:rPr>
          <w:rFonts w:hint="eastAsia"/>
        </w:rPr>
        <w:t>申请单位应当凭重庆市及以上人民政府卫生健康主管部门或中国疾病预防控制中心核发的《可感染人类的高致病性病原微生物菌（毒）种或样本准运证书》办理手续。</w:t>
      </w:r>
    </w:p>
    <w:p w14:paraId="196A4221">
      <w:pPr>
        <w:pStyle w:val="65"/>
        <w:spacing w:before="156" w:after="156"/>
        <w:rPr>
          <w:rFonts w:ascii="宋体" w:eastAsia="宋体"/>
        </w:rPr>
      </w:pPr>
      <w:r>
        <w:rPr>
          <w:rFonts w:hint="eastAsia" w:ascii="宋体" w:eastAsia="宋体"/>
        </w:rPr>
        <w:t>应选择符合资质的航空公司进行菌（毒）种或样本运输。</w:t>
      </w:r>
    </w:p>
    <w:p w14:paraId="095B1733">
      <w:pPr>
        <w:pStyle w:val="65"/>
        <w:spacing w:before="156" w:after="156"/>
        <w:rPr>
          <w:rFonts w:ascii="宋体" w:eastAsia="宋体"/>
        </w:rPr>
      </w:pPr>
      <w:r>
        <w:rPr>
          <w:rFonts w:hint="eastAsia" w:ascii="宋体" w:eastAsia="宋体"/>
        </w:rPr>
        <w:t>通过民航运输的，托运人应当按照《中国民用航空危险品运输管理规定》和国际民航组织文件《危险物品航空安全运输技术细则》的要求，正确进行分类、包装、加标记、贴标签并提交正确填写的危险品航空运输文件，交由民用航空主管部门批准的航空承运人和机场实施运输。如需由未经批准的航空承运人和机场实施运输的，应当经民用航空主管部门批准。</w:t>
      </w:r>
    </w:p>
    <w:p w14:paraId="2CDCF1F8">
      <w:pPr>
        <w:pStyle w:val="165"/>
      </w:pPr>
      <w:r>
        <w:rPr>
          <w:rFonts w:hint="eastAsia"/>
        </w:rPr>
        <w:t>托运人在机场采用符合民航</w:t>
      </w:r>
      <w:r>
        <w:t xml:space="preserve"> A </w:t>
      </w:r>
      <w:r>
        <w:rPr>
          <w:rFonts w:hint="eastAsia"/>
        </w:rPr>
        <w:t>类包装的运输容器（对应的联合国编号为</w:t>
      </w:r>
      <w:r>
        <w:t xml:space="preserve"> UN2814</w:t>
      </w:r>
      <w:r>
        <w:rPr>
          <w:rFonts w:hint="eastAsia"/>
        </w:rPr>
        <w:t>）进行航空托运，并采取相关措施保证样本质量。</w:t>
      </w:r>
    </w:p>
    <w:p w14:paraId="33967D3F">
      <w:pPr>
        <w:pStyle w:val="165"/>
      </w:pPr>
      <w:r>
        <w:rPr>
          <w:rFonts w:hint="eastAsia"/>
        </w:rPr>
        <w:t>执行菌（毒）种或样本航空运输的人员应进行培训，并定期进行能力考核，培训内容应包括但不限于以下项目：</w:t>
      </w:r>
    </w:p>
    <w:p w14:paraId="57FA0047">
      <w:pPr>
        <w:pStyle w:val="132"/>
      </w:pPr>
      <w:r>
        <w:rPr>
          <w:rFonts w:hint="eastAsia"/>
        </w:rPr>
        <w:t>菌（毒）种或样本运输相关政策法律法规；</w:t>
      </w:r>
    </w:p>
    <w:p w14:paraId="2D9CB22C">
      <w:pPr>
        <w:pStyle w:val="132"/>
      </w:pPr>
      <w:r>
        <w:rPr>
          <w:rFonts w:hint="eastAsia"/>
        </w:rPr>
        <w:t>运送菌（毒）种或样本的基本特性；</w:t>
      </w:r>
    </w:p>
    <w:p w14:paraId="25D2D4F0">
      <w:pPr>
        <w:pStyle w:val="132"/>
      </w:pPr>
      <w:r>
        <w:rPr>
          <w:rFonts w:hint="eastAsia"/>
        </w:rPr>
        <w:t>托运人的职能培训（分类、包装、标签、标记和记录的详细培训等；</w:t>
      </w:r>
    </w:p>
    <w:p w14:paraId="6106E6E7">
      <w:pPr>
        <w:pStyle w:val="132"/>
      </w:pPr>
      <w:r>
        <w:rPr>
          <w:rFonts w:hint="eastAsia"/>
        </w:rPr>
        <w:t>承运人的职能培训（接收、处理、装载和物流程序的培训等；</w:t>
      </w:r>
    </w:p>
    <w:p w14:paraId="4D24D162">
      <w:pPr>
        <w:pStyle w:val="132"/>
      </w:pPr>
      <w:r>
        <w:rPr>
          <w:rFonts w:hint="eastAsia"/>
        </w:rPr>
        <w:t>应急处理预案；</w:t>
      </w:r>
    </w:p>
    <w:p w14:paraId="2A260685">
      <w:pPr>
        <w:pStyle w:val="132"/>
      </w:pPr>
      <w:r>
        <w:rPr>
          <w:rFonts w:hint="eastAsia"/>
        </w:rPr>
        <w:t>菌（毒）种及样本运输过程保持活性和生物学特性知识。</w:t>
      </w:r>
    </w:p>
    <w:p w14:paraId="3D965E5C">
      <w:pPr>
        <w:pStyle w:val="105"/>
        <w:spacing w:before="156" w:after="156"/>
      </w:pPr>
      <w:r>
        <w:rPr>
          <w:rFonts w:hint="eastAsia"/>
        </w:rPr>
        <w:t>陆路运输</w:t>
      </w:r>
    </w:p>
    <w:p w14:paraId="4C46EE52">
      <w:pPr>
        <w:pStyle w:val="165"/>
      </w:pPr>
      <w:r>
        <w:rPr>
          <w:rFonts w:hint="eastAsia"/>
          <w:color w:val="000000"/>
        </w:rPr>
        <w:t>不能通过公共电（汽）车、城市铁路和邮寄运输菌（毒）种或样本。</w:t>
      </w:r>
    </w:p>
    <w:p w14:paraId="655BE46E">
      <w:pPr>
        <w:pStyle w:val="165"/>
      </w:pPr>
      <w:r>
        <w:rPr>
          <w:rFonts w:hint="eastAsia"/>
        </w:rPr>
        <w:t>执行菌（毒）种或样本陆路运输的人员应进行培训，并定期进行能力考核，培训内容应包括但不限于以下项目：</w:t>
      </w:r>
    </w:p>
    <w:p w14:paraId="79860CA3">
      <w:pPr>
        <w:pStyle w:val="132"/>
      </w:pPr>
      <w:r>
        <w:rPr>
          <w:rFonts w:hint="eastAsia"/>
        </w:rPr>
        <w:t>菌（毒）种或样本运输相关政策和法律法规；</w:t>
      </w:r>
    </w:p>
    <w:p w14:paraId="4869709D">
      <w:pPr>
        <w:pStyle w:val="132"/>
      </w:pPr>
      <w:r>
        <w:rPr>
          <w:rFonts w:hint="eastAsia"/>
        </w:rPr>
        <w:t>运送菌（毒）种或样本的基本特性；</w:t>
      </w:r>
    </w:p>
    <w:p w14:paraId="5605ABDD">
      <w:pPr>
        <w:pStyle w:val="132"/>
      </w:pPr>
      <w:r>
        <w:rPr>
          <w:rFonts w:hint="eastAsia"/>
        </w:rPr>
        <w:t>道路通行状况；</w:t>
      </w:r>
    </w:p>
    <w:p w14:paraId="7AD6E72D">
      <w:pPr>
        <w:pStyle w:val="132"/>
      </w:pPr>
      <w:r>
        <w:rPr>
          <w:rFonts w:hint="eastAsia"/>
        </w:rPr>
        <w:t>应急处理预案；</w:t>
      </w:r>
    </w:p>
    <w:p w14:paraId="71ECFD97">
      <w:pPr>
        <w:pStyle w:val="132"/>
      </w:pPr>
      <w:r>
        <w:rPr>
          <w:rFonts w:hint="eastAsia"/>
        </w:rPr>
        <w:t>菌（毒）种及样本运输过程保持活性和生物学特性知识。</w:t>
      </w:r>
    </w:p>
    <w:p w14:paraId="2C0E2746">
      <w:pPr>
        <w:pStyle w:val="104"/>
        <w:spacing w:before="312" w:after="312"/>
      </w:pPr>
      <w:r>
        <w:rPr>
          <w:rFonts w:hint="eastAsia"/>
        </w:rPr>
        <w:t>意外事故应急处置</w:t>
      </w:r>
    </w:p>
    <w:p w14:paraId="5DA189A4">
      <w:pPr>
        <w:pStyle w:val="162"/>
      </w:pPr>
      <w:r>
        <w:rPr>
          <w:rFonts w:hint="eastAsia"/>
        </w:rPr>
        <w:t>运输菌（毒）种或样本的车辆上应根据风险评估报告备有适当的应急处置物资，包括但不限于口罩、手套等个人防护设备，消毒物资。</w:t>
      </w:r>
    </w:p>
    <w:p w14:paraId="578CD5FD">
      <w:pPr>
        <w:pStyle w:val="162"/>
      </w:pPr>
      <w:r>
        <w:rPr>
          <w:rFonts w:hint="eastAsia"/>
        </w:rPr>
        <w:t>菌（毒）种或样本在运输过程中发生意外事故时，应按照应急预案进行及时处置、上报、记录。</w:t>
      </w:r>
    </w:p>
    <w:p w14:paraId="2C375EBD">
      <w:pPr>
        <w:pStyle w:val="162"/>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p>
    <w:bookmarkEnd w:id="22"/>
    <w:p w14:paraId="3C61BDBD">
      <w:pPr>
        <w:pStyle w:val="198"/>
        <w:rPr>
          <w:vanish w:val="0"/>
        </w:rPr>
      </w:pPr>
      <w:bookmarkStart w:id="44" w:name="BookMark5"/>
    </w:p>
    <w:p w14:paraId="69A2B7BA">
      <w:pPr>
        <w:pStyle w:val="199"/>
        <w:rPr>
          <w:vanish w:val="0"/>
        </w:rPr>
      </w:pPr>
    </w:p>
    <w:p w14:paraId="256E4139">
      <w:pPr>
        <w:pStyle w:val="76"/>
        <w:spacing w:after="156"/>
      </w:pPr>
      <w:r>
        <w:br w:type="textWrapping"/>
      </w:r>
      <w:r>
        <w:rPr>
          <w:rFonts w:hint="eastAsia"/>
        </w:rPr>
        <w:t>（资料性）</w:t>
      </w:r>
      <w:r>
        <w:br w:type="textWrapping"/>
      </w:r>
      <w:r>
        <w:rPr>
          <w:rFonts w:hint="eastAsia"/>
        </w:rPr>
        <w:t>表1  人间传染的高致病性病原微生物菌（毒）种或样本运输情况表</w:t>
      </w:r>
    </w:p>
    <w:tbl>
      <w:tblPr>
        <w:tblStyle w:val="27"/>
        <w:tblW w:w="907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00"/>
        <w:gridCol w:w="2410"/>
        <w:gridCol w:w="2126"/>
        <w:gridCol w:w="2137"/>
      </w:tblGrid>
      <w:tr w14:paraId="2745AA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00" w:type="dxa"/>
            <w:tcBorders>
              <w:top w:val="single" w:color="auto" w:sz="8" w:space="0"/>
              <w:bottom w:val="single" w:color="auto" w:sz="8" w:space="0"/>
            </w:tcBorders>
          </w:tcPr>
          <w:p w14:paraId="1BE4924A">
            <w:pPr>
              <w:pStyle w:val="56"/>
              <w:spacing w:line="400" w:lineRule="exact"/>
              <w:ind w:firstLine="0" w:firstLineChars="0"/>
              <w:jc w:val="center"/>
              <w:rPr>
                <w:rFonts w:hAnsi="宋体" w:cs="宋体"/>
                <w:sz w:val="20"/>
                <w:szCs w:val="21"/>
              </w:rPr>
            </w:pPr>
            <w:r>
              <w:rPr>
                <w:rFonts w:hint="eastAsia" w:hAnsi="宋体" w:cs="宋体"/>
                <w:sz w:val="20"/>
                <w:szCs w:val="21"/>
              </w:rPr>
              <w:t>高致病性病原微生物菌（毒）种或样本名称</w:t>
            </w:r>
          </w:p>
        </w:tc>
        <w:tc>
          <w:tcPr>
            <w:tcW w:w="6673" w:type="dxa"/>
            <w:gridSpan w:val="3"/>
            <w:tcBorders>
              <w:top w:val="single" w:color="auto" w:sz="8" w:space="0"/>
              <w:bottom w:val="single" w:color="auto" w:sz="8" w:space="0"/>
            </w:tcBorders>
            <w:shd w:val="clear" w:color="auto" w:fill="auto"/>
            <w:vAlign w:val="center"/>
          </w:tcPr>
          <w:p w14:paraId="2F58E279">
            <w:pPr>
              <w:pStyle w:val="178"/>
            </w:pPr>
          </w:p>
        </w:tc>
      </w:tr>
      <w:tr w14:paraId="7EB17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8" w:space="0"/>
            </w:tcBorders>
          </w:tcPr>
          <w:p w14:paraId="40077271">
            <w:pPr>
              <w:pStyle w:val="56"/>
              <w:spacing w:line="400" w:lineRule="exact"/>
              <w:ind w:firstLine="0" w:firstLineChars="0"/>
              <w:jc w:val="center"/>
              <w:rPr>
                <w:rFonts w:hAnsi="宋体" w:cs="宋体"/>
                <w:sz w:val="20"/>
                <w:szCs w:val="21"/>
              </w:rPr>
            </w:pPr>
            <w:r>
              <w:rPr>
                <w:rFonts w:hint="eastAsia" w:hAnsi="宋体" w:cs="宋体"/>
                <w:sz w:val="20"/>
                <w:szCs w:val="21"/>
              </w:rPr>
              <w:t>准运证号码</w:t>
            </w:r>
          </w:p>
        </w:tc>
        <w:tc>
          <w:tcPr>
            <w:tcW w:w="6673" w:type="dxa"/>
            <w:gridSpan w:val="3"/>
            <w:tcBorders>
              <w:top w:val="single" w:color="auto" w:sz="8" w:space="0"/>
            </w:tcBorders>
            <w:shd w:val="clear" w:color="auto" w:fill="auto"/>
            <w:vAlign w:val="center"/>
          </w:tcPr>
          <w:p w14:paraId="5907C461">
            <w:pPr>
              <w:pStyle w:val="178"/>
            </w:pPr>
          </w:p>
        </w:tc>
      </w:tr>
      <w:tr w14:paraId="19B13D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4C74DB95">
            <w:pPr>
              <w:pStyle w:val="56"/>
              <w:spacing w:line="400" w:lineRule="exact"/>
              <w:ind w:firstLine="0" w:firstLineChars="0"/>
              <w:jc w:val="center"/>
              <w:rPr>
                <w:rFonts w:hAnsi="宋体" w:cs="宋体"/>
                <w:sz w:val="20"/>
                <w:szCs w:val="21"/>
              </w:rPr>
            </w:pPr>
            <w:r>
              <w:rPr>
                <w:rFonts w:hint="eastAsia" w:hAnsi="宋体" w:cs="宋体"/>
                <w:sz w:val="20"/>
                <w:szCs w:val="21"/>
              </w:rPr>
              <w:t>实际运输数量</w:t>
            </w:r>
          </w:p>
        </w:tc>
        <w:tc>
          <w:tcPr>
            <w:tcW w:w="2410" w:type="dxa"/>
            <w:shd w:val="clear" w:color="auto" w:fill="auto"/>
            <w:vAlign w:val="center"/>
          </w:tcPr>
          <w:p w14:paraId="0EA4160D">
            <w:pPr>
              <w:pStyle w:val="178"/>
            </w:pPr>
          </w:p>
        </w:tc>
        <w:tc>
          <w:tcPr>
            <w:tcW w:w="2126" w:type="dxa"/>
            <w:shd w:val="clear" w:color="auto" w:fill="auto"/>
            <w:vAlign w:val="center"/>
          </w:tcPr>
          <w:p w14:paraId="69C6B755">
            <w:pPr>
              <w:pStyle w:val="178"/>
            </w:pPr>
            <w:r>
              <w:rPr>
                <w:rFonts w:hint="eastAsia" w:hAnsi="宋体" w:cs="宋体"/>
                <w:sz w:val="20"/>
                <w:szCs w:val="21"/>
              </w:rPr>
              <w:t>实际运输时间</w:t>
            </w:r>
          </w:p>
        </w:tc>
        <w:tc>
          <w:tcPr>
            <w:tcW w:w="2137" w:type="dxa"/>
            <w:shd w:val="clear" w:color="auto" w:fill="auto"/>
            <w:vAlign w:val="center"/>
          </w:tcPr>
          <w:p w14:paraId="27F579EE">
            <w:pPr>
              <w:pStyle w:val="178"/>
            </w:pPr>
          </w:p>
        </w:tc>
      </w:tr>
      <w:tr w14:paraId="7C0703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68A9FE3E">
            <w:pPr>
              <w:pStyle w:val="56"/>
              <w:spacing w:line="400" w:lineRule="exact"/>
              <w:ind w:firstLine="0" w:firstLineChars="0"/>
              <w:jc w:val="center"/>
              <w:rPr>
                <w:rFonts w:hAnsi="宋体" w:cs="宋体"/>
                <w:sz w:val="20"/>
                <w:szCs w:val="21"/>
              </w:rPr>
            </w:pPr>
            <w:r>
              <w:rPr>
                <w:rFonts w:hint="eastAsia" w:hAnsi="宋体" w:cs="宋体"/>
                <w:sz w:val="20"/>
                <w:szCs w:val="21"/>
              </w:rPr>
              <w:t>送样单位</w:t>
            </w:r>
          </w:p>
        </w:tc>
        <w:tc>
          <w:tcPr>
            <w:tcW w:w="2410" w:type="dxa"/>
            <w:shd w:val="clear" w:color="auto" w:fill="auto"/>
            <w:vAlign w:val="center"/>
          </w:tcPr>
          <w:p w14:paraId="7A541B9A">
            <w:pPr>
              <w:pStyle w:val="178"/>
            </w:pPr>
          </w:p>
        </w:tc>
        <w:tc>
          <w:tcPr>
            <w:tcW w:w="2126" w:type="dxa"/>
            <w:shd w:val="clear" w:color="auto" w:fill="auto"/>
            <w:vAlign w:val="center"/>
          </w:tcPr>
          <w:p w14:paraId="22023B1E">
            <w:pPr>
              <w:pStyle w:val="178"/>
            </w:pPr>
            <w:r>
              <w:rPr>
                <w:rFonts w:hint="eastAsia" w:hAnsi="宋体" w:cs="宋体"/>
                <w:sz w:val="20"/>
                <w:szCs w:val="21"/>
              </w:rPr>
              <w:t>收样单位</w:t>
            </w:r>
          </w:p>
        </w:tc>
        <w:tc>
          <w:tcPr>
            <w:tcW w:w="2137" w:type="dxa"/>
            <w:shd w:val="clear" w:color="auto" w:fill="auto"/>
            <w:vAlign w:val="center"/>
          </w:tcPr>
          <w:p w14:paraId="5E39FD3E">
            <w:pPr>
              <w:pStyle w:val="178"/>
            </w:pPr>
          </w:p>
        </w:tc>
      </w:tr>
      <w:tr w14:paraId="3ECA3D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6E3C2002">
            <w:pPr>
              <w:pStyle w:val="56"/>
              <w:spacing w:line="400" w:lineRule="exact"/>
              <w:ind w:firstLine="0" w:firstLineChars="0"/>
              <w:jc w:val="center"/>
              <w:rPr>
                <w:rFonts w:hAnsi="宋体" w:cs="宋体"/>
                <w:sz w:val="20"/>
                <w:szCs w:val="21"/>
              </w:rPr>
            </w:pPr>
            <w:r>
              <w:rPr>
                <w:rFonts w:hint="eastAsia" w:hAnsi="宋体" w:cs="宋体"/>
                <w:sz w:val="20"/>
                <w:szCs w:val="21"/>
              </w:rPr>
              <w:t>运输人1姓名及联系电话</w:t>
            </w:r>
          </w:p>
        </w:tc>
        <w:tc>
          <w:tcPr>
            <w:tcW w:w="2410" w:type="dxa"/>
            <w:shd w:val="clear" w:color="auto" w:fill="auto"/>
            <w:vAlign w:val="center"/>
          </w:tcPr>
          <w:p w14:paraId="3FAD1363">
            <w:pPr>
              <w:pStyle w:val="178"/>
            </w:pPr>
          </w:p>
        </w:tc>
        <w:tc>
          <w:tcPr>
            <w:tcW w:w="2126" w:type="dxa"/>
            <w:vMerge w:val="restart"/>
            <w:shd w:val="clear" w:color="auto" w:fill="auto"/>
            <w:vAlign w:val="center"/>
          </w:tcPr>
          <w:p w14:paraId="54E3846D">
            <w:pPr>
              <w:pStyle w:val="178"/>
            </w:pPr>
            <w:r>
              <w:rPr>
                <w:rFonts w:hint="eastAsia" w:hAnsi="宋体" w:cs="宋体"/>
                <w:szCs w:val="21"/>
              </w:rPr>
              <w:t>收样人姓名及联系电话</w:t>
            </w:r>
          </w:p>
        </w:tc>
        <w:tc>
          <w:tcPr>
            <w:tcW w:w="2137" w:type="dxa"/>
            <w:shd w:val="clear" w:color="auto" w:fill="auto"/>
            <w:vAlign w:val="center"/>
          </w:tcPr>
          <w:p w14:paraId="050CBF9E">
            <w:pPr>
              <w:pStyle w:val="178"/>
            </w:pPr>
          </w:p>
        </w:tc>
      </w:tr>
      <w:tr w14:paraId="567161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1A4DC78A">
            <w:pPr>
              <w:pStyle w:val="56"/>
              <w:spacing w:line="400" w:lineRule="exact"/>
              <w:ind w:firstLine="0" w:firstLineChars="0"/>
              <w:jc w:val="center"/>
              <w:rPr>
                <w:rFonts w:hAnsi="宋体" w:cs="宋体"/>
                <w:sz w:val="20"/>
                <w:szCs w:val="21"/>
              </w:rPr>
            </w:pPr>
            <w:r>
              <w:rPr>
                <w:rFonts w:hint="eastAsia" w:hAnsi="宋体" w:cs="宋体"/>
                <w:sz w:val="20"/>
                <w:szCs w:val="21"/>
              </w:rPr>
              <w:t>运输人2姓名及联系电话</w:t>
            </w:r>
          </w:p>
        </w:tc>
        <w:tc>
          <w:tcPr>
            <w:tcW w:w="2410" w:type="dxa"/>
            <w:shd w:val="clear" w:color="auto" w:fill="auto"/>
            <w:vAlign w:val="center"/>
          </w:tcPr>
          <w:p w14:paraId="4854A61E">
            <w:pPr>
              <w:pStyle w:val="178"/>
            </w:pPr>
          </w:p>
        </w:tc>
        <w:tc>
          <w:tcPr>
            <w:tcW w:w="2126" w:type="dxa"/>
            <w:vMerge w:val="continue"/>
            <w:shd w:val="clear" w:color="auto" w:fill="auto"/>
            <w:vAlign w:val="center"/>
          </w:tcPr>
          <w:p w14:paraId="7DA12666">
            <w:pPr>
              <w:pStyle w:val="178"/>
            </w:pPr>
          </w:p>
        </w:tc>
        <w:tc>
          <w:tcPr>
            <w:tcW w:w="2137" w:type="dxa"/>
            <w:shd w:val="clear" w:color="auto" w:fill="auto"/>
            <w:vAlign w:val="center"/>
          </w:tcPr>
          <w:p w14:paraId="14AE2863">
            <w:pPr>
              <w:pStyle w:val="178"/>
            </w:pPr>
          </w:p>
        </w:tc>
      </w:tr>
      <w:tr w14:paraId="10B3C7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265DFF36">
            <w:pPr>
              <w:pStyle w:val="56"/>
              <w:spacing w:line="400" w:lineRule="exact"/>
              <w:ind w:firstLine="0" w:firstLineChars="0"/>
              <w:jc w:val="center"/>
              <w:rPr>
                <w:rFonts w:hAnsi="宋体" w:cs="宋体"/>
                <w:sz w:val="20"/>
                <w:szCs w:val="21"/>
              </w:rPr>
            </w:pPr>
            <w:r>
              <w:rPr>
                <w:rFonts w:hint="eastAsia" w:hAnsi="宋体" w:cs="宋体"/>
                <w:sz w:val="20"/>
                <w:szCs w:val="21"/>
              </w:rPr>
              <w:t>包装是否完整</w:t>
            </w:r>
          </w:p>
        </w:tc>
        <w:tc>
          <w:tcPr>
            <w:tcW w:w="2410" w:type="dxa"/>
            <w:shd w:val="clear" w:color="auto" w:fill="auto"/>
          </w:tcPr>
          <w:p w14:paraId="102AD3DE">
            <w:pPr>
              <w:pStyle w:val="56"/>
              <w:spacing w:line="400" w:lineRule="exact"/>
              <w:ind w:firstLine="0" w:firstLineChars="0"/>
              <w:jc w:val="center"/>
              <w:rPr>
                <w:rFonts w:hAnsi="宋体" w:cs="宋体"/>
                <w:szCs w:val="21"/>
              </w:rPr>
            </w:pPr>
            <w:r>
              <w:rPr>
                <w:rFonts w:hint="eastAsia" w:hAnsi="宋体" w:cs="宋体"/>
                <w:szCs w:val="21"/>
              </w:rPr>
              <w:t>□是        □否</w:t>
            </w:r>
          </w:p>
        </w:tc>
        <w:tc>
          <w:tcPr>
            <w:tcW w:w="2126" w:type="dxa"/>
            <w:shd w:val="clear" w:color="auto" w:fill="auto"/>
            <w:vAlign w:val="center"/>
          </w:tcPr>
          <w:p w14:paraId="3FE50FA6">
            <w:pPr>
              <w:pStyle w:val="178"/>
            </w:pPr>
            <w:r>
              <w:rPr>
                <w:rFonts w:hint="eastAsia" w:hAnsi="宋体" w:cs="宋体"/>
                <w:szCs w:val="21"/>
              </w:rPr>
              <w:t>是否有渗漏</w:t>
            </w:r>
          </w:p>
        </w:tc>
        <w:tc>
          <w:tcPr>
            <w:tcW w:w="2137" w:type="dxa"/>
            <w:shd w:val="clear" w:color="auto" w:fill="auto"/>
          </w:tcPr>
          <w:p w14:paraId="43105FBC">
            <w:pPr>
              <w:pStyle w:val="56"/>
              <w:spacing w:line="400" w:lineRule="exact"/>
              <w:ind w:firstLine="0" w:firstLineChars="0"/>
              <w:jc w:val="center"/>
              <w:rPr>
                <w:rFonts w:hAnsi="宋体" w:cs="宋体"/>
                <w:szCs w:val="21"/>
              </w:rPr>
            </w:pPr>
            <w:r>
              <w:rPr>
                <w:rFonts w:hint="eastAsia" w:hAnsi="宋体" w:cs="宋体"/>
                <w:szCs w:val="21"/>
              </w:rPr>
              <w:t>□是        □否</w:t>
            </w:r>
          </w:p>
        </w:tc>
      </w:tr>
      <w:tr w14:paraId="7D839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0C374083">
            <w:pPr>
              <w:pStyle w:val="56"/>
              <w:spacing w:line="400" w:lineRule="exact"/>
              <w:ind w:firstLine="0" w:firstLineChars="0"/>
              <w:jc w:val="center"/>
              <w:rPr>
                <w:rFonts w:hAnsi="宋体" w:cs="宋体"/>
                <w:sz w:val="20"/>
                <w:szCs w:val="21"/>
              </w:rPr>
            </w:pPr>
            <w:r>
              <w:rPr>
                <w:rFonts w:hint="eastAsia" w:hAnsi="宋体" w:cs="宋体"/>
                <w:sz w:val="20"/>
                <w:szCs w:val="21"/>
              </w:rPr>
              <w:t>是否发生意外事故</w:t>
            </w:r>
          </w:p>
        </w:tc>
        <w:tc>
          <w:tcPr>
            <w:tcW w:w="2410" w:type="dxa"/>
            <w:shd w:val="clear" w:color="auto" w:fill="auto"/>
          </w:tcPr>
          <w:p w14:paraId="6EEDF95C">
            <w:pPr>
              <w:pStyle w:val="56"/>
              <w:spacing w:line="400" w:lineRule="exact"/>
              <w:ind w:firstLine="0" w:firstLineChars="0"/>
              <w:jc w:val="center"/>
              <w:rPr>
                <w:rFonts w:hAnsi="宋体" w:cs="宋体"/>
                <w:szCs w:val="21"/>
              </w:rPr>
            </w:pPr>
            <w:r>
              <w:rPr>
                <w:rFonts w:hint="eastAsia" w:hAnsi="宋体" w:cs="宋体"/>
                <w:szCs w:val="21"/>
              </w:rPr>
              <w:t>□是        □否</w:t>
            </w:r>
          </w:p>
        </w:tc>
        <w:tc>
          <w:tcPr>
            <w:tcW w:w="2126" w:type="dxa"/>
            <w:shd w:val="clear" w:color="auto" w:fill="auto"/>
            <w:vAlign w:val="center"/>
          </w:tcPr>
          <w:p w14:paraId="2851DE40">
            <w:pPr>
              <w:pStyle w:val="178"/>
            </w:pPr>
          </w:p>
        </w:tc>
        <w:tc>
          <w:tcPr>
            <w:tcW w:w="2137" w:type="dxa"/>
            <w:shd w:val="clear" w:color="auto" w:fill="auto"/>
            <w:vAlign w:val="center"/>
          </w:tcPr>
          <w:p w14:paraId="433EDD54">
            <w:pPr>
              <w:pStyle w:val="178"/>
            </w:pPr>
          </w:p>
        </w:tc>
      </w:tr>
      <w:tr w14:paraId="042735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6410581F">
            <w:pPr>
              <w:pStyle w:val="56"/>
              <w:spacing w:line="400" w:lineRule="exact"/>
              <w:ind w:firstLine="0" w:firstLineChars="0"/>
              <w:jc w:val="center"/>
              <w:rPr>
                <w:rFonts w:hAnsi="宋体" w:cs="宋体"/>
                <w:sz w:val="20"/>
                <w:szCs w:val="21"/>
              </w:rPr>
            </w:pPr>
            <w:r>
              <w:rPr>
                <w:rFonts w:hint="eastAsia" w:hAnsi="宋体" w:cs="宋体"/>
                <w:sz w:val="20"/>
                <w:szCs w:val="21"/>
              </w:rPr>
              <w:t>备注</w:t>
            </w:r>
          </w:p>
        </w:tc>
        <w:tc>
          <w:tcPr>
            <w:tcW w:w="6673" w:type="dxa"/>
            <w:gridSpan w:val="3"/>
            <w:shd w:val="clear" w:color="auto" w:fill="auto"/>
            <w:vAlign w:val="center"/>
          </w:tcPr>
          <w:p w14:paraId="601BB33E">
            <w:pPr>
              <w:pStyle w:val="178"/>
            </w:pPr>
          </w:p>
        </w:tc>
      </w:tr>
    </w:tbl>
    <w:p w14:paraId="78C3F20C">
      <w:pPr>
        <w:pStyle w:val="56"/>
        <w:ind w:firstLine="420"/>
      </w:pPr>
    </w:p>
    <w:p w14:paraId="3015F23A">
      <w:pPr>
        <w:pStyle w:val="56"/>
        <w:ind w:firstLine="420"/>
      </w:pPr>
    </w:p>
    <w:p w14:paraId="3A750C66">
      <w:pPr>
        <w:pStyle w:val="56"/>
        <w:ind w:firstLine="420"/>
      </w:pPr>
    </w:p>
    <w:p w14:paraId="4AA9361A">
      <w:pPr>
        <w:pStyle w:val="56"/>
        <w:ind w:firstLine="420"/>
      </w:pPr>
    </w:p>
    <w:p w14:paraId="5EA3CEC5">
      <w:pPr>
        <w:pStyle w:val="56"/>
        <w:ind w:firstLine="420"/>
      </w:pPr>
    </w:p>
    <w:p w14:paraId="338088DD">
      <w:pPr>
        <w:pStyle w:val="56"/>
        <w:ind w:firstLine="420"/>
      </w:pPr>
    </w:p>
    <w:bookmarkEnd w:id="44"/>
    <w:p w14:paraId="1BA7952F">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pPr>
      <w:bookmarkStart w:id="45" w:name="BookMark6"/>
    </w:p>
    <w:p w14:paraId="05C9746B">
      <w:pPr>
        <w:pStyle w:val="63"/>
        <w:spacing w:after="156"/>
      </w:pPr>
      <w:r>
        <w:rPr>
          <w:rFonts w:hint="eastAsia"/>
          <w:spacing w:val="105"/>
        </w:rPr>
        <w:t>参考文</w:t>
      </w:r>
      <w:r>
        <w:rPr>
          <w:rFonts w:hint="eastAsia"/>
        </w:rPr>
        <w:t>献</w:t>
      </w:r>
    </w:p>
    <w:p w14:paraId="106B89FA">
      <w:pPr>
        <w:pStyle w:val="231"/>
      </w:pPr>
      <w:r>
        <w:rPr>
          <w:rFonts w:hint="eastAsia"/>
        </w:rPr>
        <w:t>[1]</w:t>
      </w:r>
      <w:r>
        <w:t>Guidance on Regulations for the Transport of Infectious Substances 2021-2022 .</w:t>
      </w:r>
    </w:p>
    <w:p w14:paraId="3D6DEB45">
      <w:pPr>
        <w:pStyle w:val="231"/>
      </w:pPr>
      <w:r>
        <w:rPr>
          <w:rFonts w:hint="eastAsia"/>
        </w:rPr>
        <w:t>[2]</w:t>
      </w:r>
      <w:r>
        <w:t>Biosafety in Microbiological and Biomedical Laboratories 6th Edition,2020.</w:t>
      </w:r>
    </w:p>
    <w:p w14:paraId="3C81505A">
      <w:pPr>
        <w:pStyle w:val="231"/>
      </w:pPr>
      <w:r>
        <w:rPr>
          <w:rFonts w:hint="eastAsia"/>
        </w:rPr>
        <w:t>[3]</w:t>
      </w:r>
      <w:r>
        <w:t>Laboratory Biosafety Manual. 4th Edition,2020.</w:t>
      </w:r>
    </w:p>
    <w:p w14:paraId="29B1C337">
      <w:pPr>
        <w:pStyle w:val="231"/>
      </w:pPr>
      <w:r>
        <w:rPr>
          <w:rFonts w:hint="eastAsia"/>
        </w:rPr>
        <w:t>[4]中华人民共和国生物安全法（中华人民共和国主席令第5</w:t>
      </w:r>
      <w:r>
        <w:t>6</w:t>
      </w:r>
      <w:r>
        <w:rPr>
          <w:rFonts w:hint="eastAsia"/>
        </w:rPr>
        <w:t>号）.</w:t>
      </w:r>
    </w:p>
    <w:p w14:paraId="53E8BAE1">
      <w:pPr>
        <w:pStyle w:val="231"/>
      </w:pPr>
      <w:r>
        <w:rPr>
          <w:rFonts w:hint="eastAsia"/>
        </w:rPr>
        <w:t>[5]病原微生物实验室生物安全管理条例（中华人民共和国国务院令第4</w:t>
      </w:r>
      <w:r>
        <w:t>24</w:t>
      </w:r>
      <w:r>
        <w:rPr>
          <w:rFonts w:hint="eastAsia"/>
        </w:rPr>
        <w:t>号）.</w:t>
      </w:r>
    </w:p>
    <w:p w14:paraId="5DE2F9F0">
      <w:pPr>
        <w:pStyle w:val="231"/>
      </w:pPr>
      <w:r>
        <w:rPr>
          <w:rFonts w:hint="eastAsia"/>
        </w:rPr>
        <w:t>[6]可感染人类的高致病性病原微生物菌（毒）种或样本运输管理规定（中华人民共和国卫生部令第4</w:t>
      </w:r>
      <w:r>
        <w:t>5</w:t>
      </w:r>
      <w:r>
        <w:rPr>
          <w:rFonts w:hint="eastAsia"/>
        </w:rPr>
        <w:t>号）.</w:t>
      </w:r>
    </w:p>
    <w:p w14:paraId="5142CBFC">
      <w:pPr>
        <w:pStyle w:val="231"/>
      </w:pPr>
      <w:r>
        <w:rPr>
          <w:rFonts w:hint="eastAsia"/>
        </w:rPr>
        <w:t>[7]人间传染的病原微生物目录（国卫科教发〔</w:t>
      </w:r>
      <w:r>
        <w:t>2023〕24号</w:t>
      </w:r>
      <w:r>
        <w:rPr>
          <w:rFonts w:hint="eastAsia"/>
        </w:rPr>
        <w:t>）.</w:t>
      </w:r>
    </w:p>
    <w:p w14:paraId="0CC2F837">
      <w:pPr>
        <w:pStyle w:val="231"/>
      </w:pPr>
      <w:r>
        <w:rPr>
          <w:rFonts w:hint="eastAsia"/>
        </w:rPr>
        <w:t>[8]民用航空危险品运输管理规定（中华人民共和国交通运输部令2024年第4号）.</w:t>
      </w:r>
    </w:p>
    <w:p w14:paraId="1F58BA25">
      <w:pPr>
        <w:pStyle w:val="230"/>
        <w:spacing w:line="240" w:lineRule="exact"/>
        <w:jc w:val="both"/>
      </w:pPr>
      <w:r>
        <w:rPr>
          <w:rFonts w:hint="eastAsia"/>
        </w:rPr>
        <w:t xml:space="preserve">    </w:t>
      </w:r>
    </w:p>
    <w:p w14:paraId="7364CC57">
      <w:pPr>
        <w:pStyle w:val="56"/>
        <w:ind w:firstLine="420"/>
      </w:pPr>
    </w:p>
    <w:p w14:paraId="766E920E">
      <w:pPr>
        <w:pStyle w:val="56"/>
        <w:ind w:firstLine="420"/>
      </w:pPr>
    </w:p>
    <w:p w14:paraId="3E7BF736">
      <w:pPr>
        <w:pStyle w:val="56"/>
        <w:ind w:firstLine="420"/>
      </w:pPr>
    </w:p>
    <w:p w14:paraId="6C26C7C7">
      <w:pPr>
        <w:pStyle w:val="56"/>
        <w:ind w:firstLine="420"/>
      </w:pPr>
    </w:p>
    <w:bookmarkEnd w:id="45"/>
    <w:p w14:paraId="76AF9E25">
      <w:pPr>
        <w:pStyle w:val="56"/>
        <w:ind w:firstLine="420"/>
      </w:pPr>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62498">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031B4">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FF8EC">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06DC6">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E42DD">
    <w:pPr>
      <w:pStyle w:val="51"/>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7D27E">
    <w:pPr>
      <w:pStyle w:val="52"/>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92D09">
    <w:pPr>
      <w:pStyle w:val="51"/>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B6BAA">
    <w:pPr>
      <w:pStyle w:val="52"/>
    </w:pPr>
    <w:r>
      <w:fldChar w:fldCharType="begin"/>
    </w:r>
    <w:r>
      <w:instrText xml:space="preserve">PAGE   \* MERGEFORMAT</w:instrText>
    </w:r>
    <w:r>
      <w:fldChar w:fldCharType="separate"/>
    </w:r>
    <w:r>
      <w:rPr>
        <w:lang w:val="zh-CN"/>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D03D4">
    <w:pPr>
      <w:pStyle w:val="5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AFF30">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3B0D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8A85A">
    <w:pPr>
      <w:pStyle w:val="62"/>
    </w:pPr>
    <w:r>
      <w:fldChar w:fldCharType="begin"/>
    </w:r>
    <w:r>
      <w:instrText xml:space="preserve"> STYLEREF  标准文件_文件编号 \* MERGEFORMAT </w:instrText>
    </w:r>
    <w:r>
      <w:fldChar w:fldCharType="separate"/>
    </w:r>
    <w:r>
      <w:t>DB 50/T 2024—XXXX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B2E0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46F78">
    <w:pPr>
      <w:pStyle w:val="61"/>
    </w:pPr>
    <w:r>
      <w:fldChar w:fldCharType="begin"/>
    </w:r>
    <w:r>
      <w:instrText xml:space="preserve"> STYLEREF  标准文件_文件编号  \* MERGEFORMAT </w:instrText>
    </w:r>
    <w:r>
      <w:fldChar w:fldCharType="separate"/>
    </w:r>
    <w:r>
      <w:t>DB 50/T 2024—XXXX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89ADC">
    <w:pPr>
      <w:pStyle w:val="62"/>
    </w:pPr>
    <w:r>
      <w:fldChar w:fldCharType="begin"/>
    </w:r>
    <w:r>
      <w:instrText xml:space="preserve"> STYLEREF  标准文件_文件编号 \* MERGEFORMAT </w:instrText>
    </w:r>
    <w:r>
      <w:fldChar w:fldCharType="separate"/>
    </w:r>
    <w:r>
      <w:t>DB 50/T 2024—XXXX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834FC">
    <w:pPr>
      <w:pStyle w:val="61"/>
    </w:pPr>
    <w:r>
      <w:fldChar w:fldCharType="begin"/>
    </w:r>
    <w:r>
      <w:instrText xml:space="preserve"> STYLEREF  标准文件_文件编号  \* MERGEFORMAT </w:instrText>
    </w:r>
    <w:r>
      <w:fldChar w:fldCharType="separate"/>
    </w:r>
    <w:r>
      <w:t>DB 50/T 2024—XXXX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C3B76">
    <w:pPr>
      <w:pStyle w:val="62"/>
    </w:pPr>
    <w:r>
      <w:fldChar w:fldCharType="begin"/>
    </w:r>
    <w:r>
      <w:instrText xml:space="preserve"> STYLEREF  标准文件_文件编号 \* MERGEFORMAT </w:instrText>
    </w:r>
    <w:r>
      <w:fldChar w:fldCharType="separate"/>
    </w:r>
    <w:r>
      <w:t>DB 50/T 2024—XXXX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DD869">
    <w:pPr>
      <w:pStyle w:val="61"/>
    </w:pPr>
    <w:r>
      <w:fldChar w:fldCharType="begin"/>
    </w:r>
    <w:r>
      <w:instrText xml:space="preserve"> STYLEREF  标准文件_文件编号  \* MERGEFORMAT </w:instrText>
    </w:r>
    <w:r>
      <w:fldChar w:fldCharType="separate"/>
    </w:r>
    <w:r>
      <w:t>DB 50/T 2024—XXXX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BEA3C">
    <w:pPr>
      <w:pStyle w:val="62"/>
    </w:pPr>
    <w:r>
      <w:fldChar w:fldCharType="begin"/>
    </w:r>
    <w:r>
      <w:instrText xml:space="preserve"> STYLEREF  标准文件_文件编号 \* MERGEFORMAT </w:instrText>
    </w:r>
    <w:r>
      <w:fldChar w:fldCharType="separate"/>
    </w:r>
    <w:r>
      <w:t>DB 50/T 2024—XXXX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1D47E">
    <w:pPr>
      <w:pStyle w:val="61"/>
    </w:pPr>
    <w:r>
      <w:fldChar w:fldCharType="begin"/>
    </w:r>
    <w:r>
      <w:instrText xml:space="preserve"> STYLEREF  标准文件_文件编号  \* MERGEFORMAT </w:instrText>
    </w:r>
    <w:r>
      <w:fldChar w:fldCharType="separate"/>
    </w:r>
    <w:r>
      <w:t>DB 50/T 2024—XXXX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PSzH5cOdOzV/87L2ig8lI7fF23BFK4S61O7ZknRRuuSWUsHK1MjIgJU8V799Vu+vLsegkGvcq3aMaZU56npGMw==" w:salt="AyfJqqukT/mEC9mVotS2d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65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0ED"/>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E9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143"/>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150"/>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C4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4CF"/>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A4A"/>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A0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824"/>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987"/>
    <w:rsid w:val="00AE070A"/>
    <w:rsid w:val="00AE101C"/>
    <w:rsid w:val="00AE37E5"/>
    <w:rsid w:val="00AE5EB4"/>
    <w:rsid w:val="00AF0C18"/>
    <w:rsid w:val="00AF47C5"/>
    <w:rsid w:val="00AF5398"/>
    <w:rsid w:val="00B0355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51F"/>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7DA"/>
    <w:rsid w:val="00CA2D1B"/>
    <w:rsid w:val="00CA375D"/>
    <w:rsid w:val="00CA662A"/>
    <w:rsid w:val="00CA7AFD"/>
    <w:rsid w:val="00CA7C3C"/>
    <w:rsid w:val="00CB0189"/>
    <w:rsid w:val="00CB0BA2"/>
    <w:rsid w:val="00CB1A42"/>
    <w:rsid w:val="00CB1B0C"/>
    <w:rsid w:val="00CB2C0B"/>
    <w:rsid w:val="00CB517D"/>
    <w:rsid w:val="00CC038D"/>
    <w:rsid w:val="00CC08DB"/>
    <w:rsid w:val="00CC26B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65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24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429"/>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D8"/>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8B1"/>
    <w:rsid w:val="00F420D5"/>
    <w:rsid w:val="00F451EA"/>
    <w:rsid w:val="00F45447"/>
    <w:rsid w:val="00F456C6"/>
    <w:rsid w:val="00F4577B"/>
    <w:rsid w:val="00F46496"/>
    <w:rsid w:val="00F474D0"/>
    <w:rsid w:val="00F50179"/>
    <w:rsid w:val="00F511BF"/>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127273F"/>
    <w:rsid w:val="78FA3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一级无"/>
    <w:basedOn w:val="1"/>
    <w:qFormat/>
    <w:uiPriority w:val="0"/>
    <w:pPr>
      <w:widowControl/>
      <w:adjustRightInd/>
      <w:spacing w:line="240" w:lineRule="auto"/>
      <w:jc w:val="left"/>
      <w:outlineLvl w:val="2"/>
    </w:pPr>
    <w:rPr>
      <w:rFonts w:ascii="宋体" w:hAnsi="Times New Roman"/>
      <w:kern w:val="0"/>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40EB2AB1C864B449FC91DC9BDA22342"/>
        <w:style w:val=""/>
        <w:category>
          <w:name w:val="常规"/>
          <w:gallery w:val="placeholder"/>
        </w:category>
        <w:types>
          <w:type w:val="bbPlcHdr"/>
        </w:types>
        <w:behaviors>
          <w:behavior w:val="content"/>
        </w:behaviors>
        <w:description w:val=""/>
        <w:guid w:val="{E0AFCC42-3F33-4A97-AEBE-0220F77F51EF}"/>
      </w:docPartPr>
      <w:docPartBody>
        <w:p w14:paraId="00DD5F41">
          <w:pPr>
            <w:pStyle w:val="5"/>
          </w:pPr>
          <w:r>
            <w:rPr>
              <w:rStyle w:val="4"/>
              <w:rFonts w:hint="eastAsia"/>
            </w:rPr>
            <w:t>单击或点击此处输入文字。</w:t>
          </w:r>
        </w:p>
      </w:docPartBody>
    </w:docPart>
    <w:docPart>
      <w:docPartPr>
        <w:name w:val="3BA7F087C05540999AAE1A71DF0DE6B5"/>
        <w:style w:val=""/>
        <w:category>
          <w:name w:val="常规"/>
          <w:gallery w:val="placeholder"/>
        </w:category>
        <w:types>
          <w:type w:val="bbPlcHdr"/>
        </w:types>
        <w:behaviors>
          <w:behavior w:val="content"/>
        </w:behaviors>
        <w:description w:val=""/>
        <w:guid w:val="{ACB2EC81-0FB6-4406-BD85-309274498865}"/>
      </w:docPartPr>
      <w:docPartBody>
        <w:p w14:paraId="39C2F283">
          <w:pPr>
            <w:pStyle w:val="6"/>
          </w:pPr>
          <w:r>
            <w:rPr>
              <w:rStyle w:val="4"/>
              <w:rFonts w:hint="eastAsia"/>
            </w:rPr>
            <w:t>选择一项。</w:t>
          </w:r>
        </w:p>
      </w:docPartBody>
    </w:docPart>
    <w:docPart>
      <w:docPartPr>
        <w:name w:val="32FBB0690A554531A1D9AFA73FD09034"/>
        <w:style w:val=""/>
        <w:category>
          <w:name w:val="常规"/>
          <w:gallery w:val="placeholder"/>
        </w:category>
        <w:types>
          <w:type w:val="bbPlcHdr"/>
        </w:types>
        <w:behaviors>
          <w:behavior w:val="content"/>
        </w:behaviors>
        <w:description w:val=""/>
        <w:guid w:val="{6DDAF167-947A-4485-B929-25803EAD7437}"/>
      </w:docPartPr>
      <w:docPartBody>
        <w:p w14:paraId="3CC01D6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CCE"/>
    <w:rsid w:val="00765803"/>
    <w:rsid w:val="00C12B60"/>
    <w:rsid w:val="00D4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40EB2AB1C864B449FC91DC9BDA2234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BA7F087C05540999AAE1A71DF0DE6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2FBB0690A554531A1D9AFA73FD0903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B3503-BF85-4641-AC16-63B22F4341D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2415</Words>
  <Characters>2800</Characters>
  <Lines>309</Lines>
  <Paragraphs>278</Paragraphs>
  <TotalTime>3</TotalTime>
  <ScaleCrop>false</ScaleCrop>
  <LinksUpToDate>false</LinksUpToDate>
  <CharactersWithSpaces>2896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2024-08-19T03:06:00Z</dcterms:created>
  <dc:creator>Windows User</dc:creator>
  <dc:description>&lt;config cover="true" show_menu="true" version="1.0.0" doctype="SDKXY"&gt;_x000d_
&lt;/config&gt;</dc:description>
  <cp:lastModifiedBy>廖爱玲</cp:lastModifiedBy>
  <cp:lastPrinted>2024-08-19T03:40:00Z</cp:lastPrinted>
  <dcterms:modified xsi:type="dcterms:W3CDTF">2025-02-18T05:53:41Z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TemplateDocerSaveRecord">
    <vt:lpwstr>eyJoZGlkIjoiN2RhNzYxNGRhZmViOGJmOTA2ZjI3MmQyNjMxZTNiM2UiLCJ1c2VySWQiOiIzMDU1NjA4NzYifQ==</vt:lpwstr>
  </property>
  <property fmtid="{D5CDD505-2E9C-101B-9397-08002B2CF9AE}" pid="16" name="KSOProductBuildVer">
    <vt:lpwstr>2052-12.1.0.19770</vt:lpwstr>
  </property>
  <property fmtid="{D5CDD505-2E9C-101B-9397-08002B2CF9AE}" pid="17" name="ICV">
    <vt:lpwstr>9C3BAB397CD24389B97D31B8F8AC4D59_12</vt:lpwstr>
  </property>
</Properties>
</file>